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C" w:rsidRPr="00A51339" w:rsidRDefault="006B638E" w:rsidP="0036204C">
      <w:pPr>
        <w:jc w:val="right"/>
        <w:rPr>
          <w:sz w:val="28"/>
          <w:szCs w:val="28"/>
        </w:rPr>
      </w:pPr>
      <w:r w:rsidRPr="00A51339">
        <w:rPr>
          <w:sz w:val="28"/>
          <w:szCs w:val="28"/>
        </w:rPr>
        <w:t>на сайт администрации Гудермесского района</w:t>
      </w:r>
    </w:p>
    <w:p w:rsidR="00E30248" w:rsidRPr="00A51339" w:rsidRDefault="00E30248" w:rsidP="00845989">
      <w:pPr>
        <w:jc w:val="center"/>
        <w:rPr>
          <w:sz w:val="28"/>
          <w:szCs w:val="28"/>
        </w:rPr>
      </w:pPr>
    </w:p>
    <w:p w:rsidR="004C3D62" w:rsidRPr="00C619A2" w:rsidRDefault="00C619A2" w:rsidP="008E426C">
      <w:pPr>
        <w:spacing w:after="75"/>
        <w:jc w:val="both"/>
        <w:rPr>
          <w:b/>
          <w:bCs/>
          <w:color w:val="333333"/>
          <w:sz w:val="27"/>
          <w:szCs w:val="27"/>
          <w:shd w:val="clear" w:color="auto" w:fill="FFFFFF"/>
        </w:rPr>
      </w:pPr>
      <w:r w:rsidRPr="00C619A2">
        <w:rPr>
          <w:b/>
          <w:bCs/>
          <w:color w:val="333333"/>
          <w:sz w:val="27"/>
          <w:szCs w:val="27"/>
          <w:shd w:val="clear" w:color="auto" w:fill="FFFFFF"/>
        </w:rPr>
        <w:t>Вступили в силу изменения в законодательство, регламентирующее порядок расчета платы за коммунальную услугу по отоплению</w:t>
      </w:r>
    </w:p>
    <w:p w:rsidR="00C619A2" w:rsidRDefault="00C619A2" w:rsidP="00C619A2">
      <w:pPr>
        <w:tabs>
          <w:tab w:val="left" w:pos="0"/>
        </w:tabs>
        <w:jc w:val="both"/>
        <w:rPr>
          <w:sz w:val="27"/>
          <w:szCs w:val="27"/>
        </w:rPr>
      </w:pPr>
    </w:p>
    <w:p w:rsidR="00C619A2" w:rsidRPr="00C619A2" w:rsidRDefault="00C619A2" w:rsidP="00C619A2">
      <w:pPr>
        <w:tabs>
          <w:tab w:val="left" w:pos="0"/>
        </w:tabs>
        <w:jc w:val="both"/>
        <w:rPr>
          <w:sz w:val="27"/>
          <w:szCs w:val="27"/>
        </w:rPr>
      </w:pPr>
      <w:proofErr w:type="gramStart"/>
      <w:r w:rsidRPr="00C619A2">
        <w:rPr>
          <w:sz w:val="27"/>
          <w:szCs w:val="27"/>
        </w:rPr>
        <w:t xml:space="preserve">Постановлением Правительства РФ от 29.08.2024 № 1176 внесены изменения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 354, и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C619A2">
        <w:rPr>
          <w:sz w:val="27"/>
          <w:szCs w:val="27"/>
        </w:rPr>
        <w:t>ресурсоснабжающими</w:t>
      </w:r>
      <w:proofErr w:type="spellEnd"/>
      <w:r w:rsidRPr="00C619A2">
        <w:rPr>
          <w:sz w:val="27"/>
          <w:szCs w:val="27"/>
        </w:rPr>
        <w:t xml:space="preserve"> организациями, утвержденные постановлением Правительства РФ от 14.02.2012 № 124</w:t>
      </w:r>
      <w:proofErr w:type="gramEnd"/>
      <w:r w:rsidRPr="00C619A2">
        <w:rPr>
          <w:sz w:val="27"/>
          <w:szCs w:val="27"/>
        </w:rPr>
        <w:t>, регламентирующие вопросы расчета платы за коммунальную услугу по отоплению.</w:t>
      </w:r>
    </w:p>
    <w:p w:rsidR="00C619A2" w:rsidRPr="00C619A2" w:rsidRDefault="00C619A2" w:rsidP="00C619A2">
      <w:pPr>
        <w:tabs>
          <w:tab w:val="left" w:pos="0"/>
        </w:tabs>
        <w:jc w:val="both"/>
        <w:rPr>
          <w:sz w:val="27"/>
          <w:szCs w:val="27"/>
        </w:rPr>
      </w:pPr>
      <w:r w:rsidRPr="00C619A2">
        <w:rPr>
          <w:sz w:val="27"/>
          <w:szCs w:val="27"/>
        </w:rPr>
        <w:t xml:space="preserve">В соответствии с указанными изменениями органы государственной власти субъектов Российской Федерации вправе принять решение в отношении всех или отдельных муниципальных образований, расположенных на территории субъекта, о переходе к способу оплаты коммунальной услуги по отоплению в течение отопительного периода. Данное решение принимается не </w:t>
      </w:r>
      <w:proofErr w:type="gramStart"/>
      <w:r w:rsidRPr="00C619A2">
        <w:rPr>
          <w:sz w:val="27"/>
          <w:szCs w:val="27"/>
        </w:rPr>
        <w:t>позднее</w:t>
      </w:r>
      <w:proofErr w:type="gramEnd"/>
      <w:r w:rsidRPr="00C619A2">
        <w:rPr>
          <w:sz w:val="27"/>
          <w:szCs w:val="27"/>
        </w:rPr>
        <w:t xml:space="preserve"> чем за 3 месяца до начала применения способа оплаты коммунальной услуги по отоплению в течение отопительного периода и подлежит опубликованию на официальном сайте органа государственной власти субъекта Российской Федерации в сети «Интернет» в течение 5 рабочих дней со дня его принятия.</w:t>
      </w:r>
    </w:p>
    <w:p w:rsidR="00C619A2" w:rsidRPr="00C619A2" w:rsidRDefault="00C619A2" w:rsidP="00C619A2">
      <w:pPr>
        <w:tabs>
          <w:tab w:val="left" w:pos="0"/>
        </w:tabs>
        <w:jc w:val="both"/>
        <w:rPr>
          <w:sz w:val="27"/>
          <w:szCs w:val="27"/>
        </w:rPr>
      </w:pPr>
      <w:proofErr w:type="gramStart"/>
      <w:r w:rsidRPr="00C619A2">
        <w:rPr>
          <w:sz w:val="27"/>
          <w:szCs w:val="27"/>
        </w:rPr>
        <w:t>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коммунальной услуги осуществляет корректировку размера платы за такую услугу в любом расчетном периоде начиная с периода, в котором применяется способ оплаты за отопление в течение отопительного периода, до окончания соответствующего отопительного периода или равномерно в течение нескольких расчетных периодов отопительного периода</w:t>
      </w:r>
      <w:proofErr w:type="gramEnd"/>
      <w:r w:rsidRPr="00C619A2">
        <w:rPr>
          <w:sz w:val="27"/>
          <w:szCs w:val="27"/>
        </w:rPr>
        <w:t xml:space="preserve">, в </w:t>
      </w:r>
      <w:proofErr w:type="gramStart"/>
      <w:r w:rsidRPr="00C619A2">
        <w:rPr>
          <w:sz w:val="27"/>
          <w:szCs w:val="27"/>
        </w:rPr>
        <w:t>котором</w:t>
      </w:r>
      <w:proofErr w:type="gramEnd"/>
      <w:r w:rsidRPr="00C619A2">
        <w:rPr>
          <w:sz w:val="27"/>
          <w:szCs w:val="27"/>
        </w:rPr>
        <w:t xml:space="preserve"> осуществлен переход к применению способа оплаты коммунальной услуги по отоплению в течение отопительного периода.</w:t>
      </w:r>
    </w:p>
    <w:p w:rsidR="00C619A2" w:rsidRPr="00C619A2" w:rsidRDefault="00C619A2" w:rsidP="00C619A2">
      <w:pPr>
        <w:tabs>
          <w:tab w:val="left" w:pos="0"/>
        </w:tabs>
        <w:jc w:val="both"/>
        <w:rPr>
          <w:sz w:val="27"/>
          <w:szCs w:val="27"/>
        </w:rPr>
      </w:pPr>
      <w:proofErr w:type="gramStart"/>
      <w:r w:rsidRPr="00C619A2">
        <w:rPr>
          <w:sz w:val="27"/>
          <w:szCs w:val="27"/>
        </w:rPr>
        <w:t>Также установлено, что плата за коммунальную услугу по отоплению определяется исходя из среднемесячного объема потребления тепловой энергии на отопление по показаниям коллективного (</w:t>
      </w:r>
      <w:proofErr w:type="spellStart"/>
      <w:r w:rsidRPr="00C619A2">
        <w:rPr>
          <w:sz w:val="27"/>
          <w:szCs w:val="27"/>
        </w:rPr>
        <w:t>общедомового</w:t>
      </w:r>
      <w:proofErr w:type="spellEnd"/>
      <w:r w:rsidRPr="00C619A2">
        <w:rPr>
          <w:sz w:val="27"/>
          <w:szCs w:val="27"/>
        </w:rPr>
        <w:t>) прибора учета тепловой энергии за 12 календарных месяцев, предшествующих периоду выхода из строя, утраты, истечения срока эксплуатации прибора учета, а если период работы прибора учета составил меньше 12 месяцев, то за фактический период работы прибора учета, но</w:t>
      </w:r>
      <w:proofErr w:type="gramEnd"/>
      <w:r w:rsidRPr="00C619A2">
        <w:rPr>
          <w:sz w:val="27"/>
          <w:szCs w:val="27"/>
        </w:rPr>
        <w:t xml:space="preserve"> не менее 3 месяцев отопительного периода, с учетом фактического количества дней предоставления коммунальной услуги и фактической температуры наружного воздуха начиная с даты, когда вышел из строя или был утрачен ранее введенный в эксплуатацию коллективный (</w:t>
      </w:r>
      <w:proofErr w:type="spellStart"/>
      <w:r w:rsidRPr="00C619A2">
        <w:rPr>
          <w:sz w:val="27"/>
          <w:szCs w:val="27"/>
        </w:rPr>
        <w:t>общедомовый</w:t>
      </w:r>
      <w:proofErr w:type="spellEnd"/>
      <w:r w:rsidRPr="00C619A2">
        <w:rPr>
          <w:sz w:val="27"/>
          <w:szCs w:val="27"/>
        </w:rPr>
        <w:t>) прибор учета тепловой энергии либо истек срок его эксплуатации.</w:t>
      </w:r>
    </w:p>
    <w:p w:rsidR="00C619A2" w:rsidRPr="00C619A2" w:rsidRDefault="00C619A2" w:rsidP="00C619A2">
      <w:pPr>
        <w:tabs>
          <w:tab w:val="left" w:pos="0"/>
        </w:tabs>
        <w:jc w:val="both"/>
        <w:rPr>
          <w:sz w:val="27"/>
          <w:szCs w:val="27"/>
        </w:rPr>
      </w:pPr>
      <w:r w:rsidRPr="00C619A2">
        <w:rPr>
          <w:sz w:val="27"/>
          <w:szCs w:val="27"/>
        </w:rPr>
        <w:lastRenderedPageBreak/>
        <w:t xml:space="preserve">При этом если такую дату установить невозможно, то размер платы </w:t>
      </w:r>
      <w:proofErr w:type="gramStart"/>
      <w:r w:rsidRPr="00C619A2">
        <w:rPr>
          <w:sz w:val="27"/>
          <w:szCs w:val="27"/>
        </w:rPr>
        <w:t>определяется</w:t>
      </w:r>
      <w:proofErr w:type="gramEnd"/>
      <w:r w:rsidRPr="00C619A2">
        <w:rPr>
          <w:sz w:val="27"/>
          <w:szCs w:val="27"/>
        </w:rPr>
        <w:t xml:space="preserve">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коллективного (</w:t>
      </w:r>
      <w:proofErr w:type="spellStart"/>
      <w:r w:rsidRPr="00C619A2">
        <w:rPr>
          <w:sz w:val="27"/>
          <w:szCs w:val="27"/>
        </w:rPr>
        <w:t>общедомового</w:t>
      </w:r>
      <w:proofErr w:type="spellEnd"/>
      <w:r w:rsidRPr="00C619A2">
        <w:rPr>
          <w:sz w:val="27"/>
          <w:szCs w:val="27"/>
        </w:rPr>
        <w:t>) прибора учета, но не более 6 последующих расчетных периодов, в которых предоставляется коммунальная услуга.</w:t>
      </w:r>
    </w:p>
    <w:p w:rsidR="00C619A2" w:rsidRPr="00C619A2" w:rsidRDefault="00C619A2" w:rsidP="00C619A2">
      <w:pPr>
        <w:tabs>
          <w:tab w:val="left" w:pos="0"/>
        </w:tabs>
        <w:jc w:val="both"/>
        <w:rPr>
          <w:sz w:val="27"/>
          <w:szCs w:val="27"/>
        </w:rPr>
      </w:pPr>
    </w:p>
    <w:p w:rsidR="00C619A2" w:rsidRPr="00C619A2" w:rsidRDefault="00C619A2" w:rsidP="00C619A2">
      <w:pPr>
        <w:tabs>
          <w:tab w:val="left" w:pos="0"/>
        </w:tabs>
        <w:jc w:val="both"/>
        <w:rPr>
          <w:sz w:val="27"/>
          <w:szCs w:val="27"/>
        </w:rPr>
      </w:pPr>
      <w:r w:rsidRPr="00C619A2">
        <w:rPr>
          <w:sz w:val="27"/>
          <w:szCs w:val="27"/>
        </w:rPr>
        <w:t>Постановление Правительства РФ от 29.08.2024 № 1176 вступило в силу с 01.03.2025.</w:t>
      </w:r>
    </w:p>
    <w:p w:rsidR="00E668C4" w:rsidRPr="00C619A2" w:rsidRDefault="00E668C4" w:rsidP="00E668C4">
      <w:pPr>
        <w:tabs>
          <w:tab w:val="left" w:pos="0"/>
        </w:tabs>
        <w:jc w:val="both"/>
        <w:rPr>
          <w:sz w:val="27"/>
          <w:szCs w:val="27"/>
        </w:rPr>
      </w:pPr>
    </w:p>
    <w:p w:rsidR="00A220A1" w:rsidRPr="00C619A2" w:rsidRDefault="00A220A1" w:rsidP="00E70DDA">
      <w:pPr>
        <w:jc w:val="center"/>
        <w:rPr>
          <w:color w:val="000000" w:themeColor="text1"/>
          <w:sz w:val="27"/>
          <w:szCs w:val="27"/>
        </w:rPr>
      </w:pPr>
    </w:p>
    <w:p w:rsidR="00FF0E8E" w:rsidRPr="00C619A2" w:rsidRDefault="00FF0E8E" w:rsidP="00E70DDA">
      <w:pPr>
        <w:jc w:val="center"/>
        <w:rPr>
          <w:color w:val="000000" w:themeColor="text1"/>
          <w:sz w:val="27"/>
          <w:szCs w:val="27"/>
        </w:rPr>
      </w:pPr>
      <w:r w:rsidRPr="00C619A2">
        <w:rPr>
          <w:color w:val="000000" w:themeColor="text1"/>
          <w:sz w:val="27"/>
          <w:szCs w:val="27"/>
        </w:rPr>
        <w:t xml:space="preserve">Помощник прокурора района                                           </w:t>
      </w:r>
      <w:r w:rsidR="00E65962" w:rsidRPr="00C619A2">
        <w:rPr>
          <w:color w:val="000000" w:themeColor="text1"/>
          <w:sz w:val="27"/>
          <w:szCs w:val="27"/>
        </w:rPr>
        <w:t xml:space="preserve">   Т.М. Абдул-Кадыров</w:t>
      </w:r>
    </w:p>
    <w:p w:rsidR="00FF0E8E" w:rsidRPr="00C619A2" w:rsidRDefault="00FF0E8E" w:rsidP="00FF0E8E">
      <w:pPr>
        <w:spacing w:after="300"/>
        <w:ind w:firstLine="708"/>
        <w:jc w:val="both"/>
        <w:rPr>
          <w:color w:val="000000"/>
          <w:sz w:val="27"/>
          <w:szCs w:val="27"/>
        </w:rPr>
      </w:pPr>
    </w:p>
    <w:p w:rsidR="00417F35" w:rsidRPr="00C619A2" w:rsidRDefault="00417F35" w:rsidP="00FF0E8E">
      <w:pPr>
        <w:spacing w:after="120"/>
        <w:jc w:val="center"/>
        <w:rPr>
          <w:sz w:val="27"/>
          <w:szCs w:val="27"/>
        </w:rPr>
      </w:pPr>
    </w:p>
    <w:sectPr w:rsidR="00417F35" w:rsidRPr="00C619A2" w:rsidSect="0041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F0C33"/>
    <w:rsid w:val="00047931"/>
    <w:rsid w:val="00067DCA"/>
    <w:rsid w:val="00070273"/>
    <w:rsid w:val="00076AA8"/>
    <w:rsid w:val="00094A13"/>
    <w:rsid w:val="000A6458"/>
    <w:rsid w:val="000B419A"/>
    <w:rsid w:val="000E06C2"/>
    <w:rsid w:val="000E3E37"/>
    <w:rsid w:val="00122937"/>
    <w:rsid w:val="001273C7"/>
    <w:rsid w:val="00130E99"/>
    <w:rsid w:val="001B53C7"/>
    <w:rsid w:val="0026361D"/>
    <w:rsid w:val="00276F1F"/>
    <w:rsid w:val="00277BF3"/>
    <w:rsid w:val="002F2BE7"/>
    <w:rsid w:val="003008A7"/>
    <w:rsid w:val="00310BFA"/>
    <w:rsid w:val="00313664"/>
    <w:rsid w:val="00331191"/>
    <w:rsid w:val="00343A71"/>
    <w:rsid w:val="0036204C"/>
    <w:rsid w:val="003740D0"/>
    <w:rsid w:val="00416FE6"/>
    <w:rsid w:val="00417F35"/>
    <w:rsid w:val="00446765"/>
    <w:rsid w:val="004B3477"/>
    <w:rsid w:val="004C3D62"/>
    <w:rsid w:val="004F671A"/>
    <w:rsid w:val="00504C7E"/>
    <w:rsid w:val="005165CE"/>
    <w:rsid w:val="005727CC"/>
    <w:rsid w:val="005C1461"/>
    <w:rsid w:val="005C26F2"/>
    <w:rsid w:val="005C527A"/>
    <w:rsid w:val="005C5AE8"/>
    <w:rsid w:val="005D0F92"/>
    <w:rsid w:val="005D6980"/>
    <w:rsid w:val="0061224D"/>
    <w:rsid w:val="00661BCC"/>
    <w:rsid w:val="006A29C8"/>
    <w:rsid w:val="006B638E"/>
    <w:rsid w:val="006B7271"/>
    <w:rsid w:val="006E0D39"/>
    <w:rsid w:val="006F799D"/>
    <w:rsid w:val="00705EAE"/>
    <w:rsid w:val="007244F8"/>
    <w:rsid w:val="00730812"/>
    <w:rsid w:val="007402F7"/>
    <w:rsid w:val="00762F3F"/>
    <w:rsid w:val="007763E0"/>
    <w:rsid w:val="00785983"/>
    <w:rsid w:val="00785DE6"/>
    <w:rsid w:val="007B1C84"/>
    <w:rsid w:val="007B2047"/>
    <w:rsid w:val="007C7272"/>
    <w:rsid w:val="007D441B"/>
    <w:rsid w:val="00814189"/>
    <w:rsid w:val="00845989"/>
    <w:rsid w:val="008569E0"/>
    <w:rsid w:val="0088017C"/>
    <w:rsid w:val="008C3210"/>
    <w:rsid w:val="008C358B"/>
    <w:rsid w:val="008E426C"/>
    <w:rsid w:val="00956FA9"/>
    <w:rsid w:val="00957E57"/>
    <w:rsid w:val="0096410E"/>
    <w:rsid w:val="009D69CD"/>
    <w:rsid w:val="009E32A0"/>
    <w:rsid w:val="009F0C33"/>
    <w:rsid w:val="009F4F0D"/>
    <w:rsid w:val="009F6837"/>
    <w:rsid w:val="00A128DA"/>
    <w:rsid w:val="00A220A1"/>
    <w:rsid w:val="00A51339"/>
    <w:rsid w:val="00A71FC0"/>
    <w:rsid w:val="00A76468"/>
    <w:rsid w:val="00AE2FC0"/>
    <w:rsid w:val="00AF6A82"/>
    <w:rsid w:val="00B028B3"/>
    <w:rsid w:val="00B0797A"/>
    <w:rsid w:val="00B4254C"/>
    <w:rsid w:val="00B4570E"/>
    <w:rsid w:val="00B76359"/>
    <w:rsid w:val="00BA073B"/>
    <w:rsid w:val="00BF3215"/>
    <w:rsid w:val="00C31E9E"/>
    <w:rsid w:val="00C44170"/>
    <w:rsid w:val="00C619A2"/>
    <w:rsid w:val="00C6635B"/>
    <w:rsid w:val="00C85CEB"/>
    <w:rsid w:val="00C9608A"/>
    <w:rsid w:val="00CA139C"/>
    <w:rsid w:val="00CA140A"/>
    <w:rsid w:val="00CA1ECD"/>
    <w:rsid w:val="00CE3438"/>
    <w:rsid w:val="00CE6D90"/>
    <w:rsid w:val="00CE7D94"/>
    <w:rsid w:val="00D03CEA"/>
    <w:rsid w:val="00D25A7B"/>
    <w:rsid w:val="00D7411C"/>
    <w:rsid w:val="00DC0C44"/>
    <w:rsid w:val="00DD4296"/>
    <w:rsid w:val="00DE38AA"/>
    <w:rsid w:val="00DE588D"/>
    <w:rsid w:val="00E26F89"/>
    <w:rsid w:val="00E30248"/>
    <w:rsid w:val="00E51E80"/>
    <w:rsid w:val="00E6073D"/>
    <w:rsid w:val="00E65962"/>
    <w:rsid w:val="00E668C4"/>
    <w:rsid w:val="00E70DDA"/>
    <w:rsid w:val="00E760B4"/>
    <w:rsid w:val="00F21656"/>
    <w:rsid w:val="00F527DF"/>
    <w:rsid w:val="00F63CDC"/>
    <w:rsid w:val="00F9545B"/>
    <w:rsid w:val="00FE796F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0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03CE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F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"/>
    <w:basedOn w:val="a0"/>
    <w:rsid w:val="008E4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7A86-62DF-4470-A38B-69B51E5F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2025-03-07T11:59:00Z</cp:lastPrinted>
  <dcterms:created xsi:type="dcterms:W3CDTF">2021-01-20T14:23:00Z</dcterms:created>
  <dcterms:modified xsi:type="dcterms:W3CDTF">2025-03-07T11:59:00Z</dcterms:modified>
</cp:coreProperties>
</file>